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468" w:rsidRDefault="00F90F43" w:rsidP="00F90F43">
      <w:pPr>
        <w:jc w:val="center"/>
        <w:rPr>
          <w:rFonts w:ascii="Times New Roman" w:hAnsi="Times New Roman" w:cs="Times New Roman"/>
          <w:b/>
          <w:sz w:val="24"/>
          <w:szCs w:val="24"/>
        </w:rPr>
      </w:pPr>
      <w:bookmarkStart w:id="0" w:name="_GoBack"/>
      <w:bookmarkEnd w:id="0"/>
      <w:r w:rsidRPr="00F90F43">
        <w:rPr>
          <w:rFonts w:ascii="Times New Roman" w:hAnsi="Times New Roman" w:cs="Times New Roman"/>
          <w:b/>
          <w:sz w:val="24"/>
          <w:szCs w:val="24"/>
        </w:rPr>
        <w:t>Действующие программы поддержки субъектов МСП</w:t>
      </w:r>
    </w:p>
    <w:p w:rsidR="00C85553" w:rsidRDefault="00C85553" w:rsidP="00F90F43">
      <w:pPr>
        <w:jc w:val="center"/>
        <w:rPr>
          <w:rFonts w:ascii="Times New Roman" w:hAnsi="Times New Roman" w:cs="Times New Roman"/>
          <w:b/>
          <w:sz w:val="24"/>
          <w:szCs w:val="24"/>
        </w:rPr>
      </w:pPr>
    </w:p>
    <w:p w:rsidR="00C85553" w:rsidRPr="0001666A" w:rsidRDefault="00C85553" w:rsidP="006D7E98">
      <w:pPr>
        <w:spacing w:after="0" w:line="360" w:lineRule="auto"/>
        <w:jc w:val="both"/>
        <w:rPr>
          <w:rFonts w:ascii="Times New Roman" w:eastAsia="Courier New" w:hAnsi="Times New Roman" w:cs="Times New Roman"/>
          <w:b/>
          <w:color w:val="000000"/>
          <w:sz w:val="24"/>
          <w:szCs w:val="24"/>
          <w:lang w:eastAsia="ru-RU"/>
        </w:rPr>
      </w:pPr>
      <w:r w:rsidRPr="0001666A">
        <w:rPr>
          <w:rFonts w:ascii="Times New Roman" w:eastAsia="Courier New" w:hAnsi="Times New Roman" w:cs="Times New Roman"/>
          <w:b/>
          <w:color w:val="000000"/>
          <w:sz w:val="24"/>
          <w:szCs w:val="24"/>
          <w:lang w:eastAsia="ru-RU"/>
        </w:rPr>
        <w:t>Федеральные меры поддержки.</w:t>
      </w:r>
    </w:p>
    <w:p w:rsidR="00C85553" w:rsidRPr="0001666A" w:rsidRDefault="008265C4" w:rsidP="006D7E98">
      <w:pPr>
        <w:spacing w:after="0" w:line="360" w:lineRule="auto"/>
        <w:ind w:firstLine="708"/>
        <w:jc w:val="both"/>
        <w:rPr>
          <w:rFonts w:ascii="Times New Roman" w:hAnsi="Times New Roman" w:cs="Times New Roman"/>
          <w:b/>
          <w:sz w:val="24"/>
          <w:szCs w:val="24"/>
        </w:rPr>
      </w:pPr>
      <w:r w:rsidRPr="0001666A">
        <w:rPr>
          <w:rFonts w:ascii="Times New Roman" w:eastAsia="Courier New" w:hAnsi="Times New Roman" w:cs="Times New Roman"/>
          <w:color w:val="000000"/>
          <w:sz w:val="24"/>
          <w:szCs w:val="24"/>
          <w:lang w:eastAsia="ru-RU"/>
        </w:rPr>
        <w:t xml:space="preserve">1. </w:t>
      </w:r>
      <w:r w:rsidR="00C85553" w:rsidRPr="0001666A">
        <w:rPr>
          <w:rFonts w:ascii="Times New Roman" w:eastAsia="Courier New" w:hAnsi="Times New Roman" w:cs="Times New Roman"/>
          <w:color w:val="000000"/>
          <w:sz w:val="24"/>
          <w:szCs w:val="24"/>
          <w:lang w:eastAsia="ru-RU"/>
        </w:rPr>
        <w:t xml:space="preserve">В настоящее время по поручению Президента Российской Федерации предусмотрены единовременные гранты из расчета 1 МРОТ (12 </w:t>
      </w:r>
      <w:r w:rsidR="00C85553" w:rsidRPr="0001666A">
        <w:rPr>
          <w:rFonts w:ascii="Times New Roman" w:eastAsia="Courier New" w:hAnsi="Times New Roman" w:cs="Times New Roman"/>
          <w:color w:val="000000"/>
          <w:spacing w:val="10"/>
          <w:sz w:val="24"/>
          <w:szCs w:val="24"/>
          <w:lang w:eastAsia="ru-RU"/>
        </w:rPr>
        <w:t xml:space="preserve">792 </w:t>
      </w:r>
      <w:r w:rsidR="00C85553" w:rsidRPr="0001666A">
        <w:rPr>
          <w:rFonts w:ascii="Times New Roman" w:eastAsia="Courier New" w:hAnsi="Times New Roman" w:cs="Times New Roman"/>
          <w:color w:val="000000"/>
          <w:sz w:val="24"/>
          <w:szCs w:val="24"/>
          <w:lang w:eastAsia="ru-RU"/>
        </w:rPr>
        <w:t xml:space="preserve">рубля) на одного сотрудника или на одного индивидуального предпринимателя без работников на поддержку в период режима выходных дней. Важно отметить, что бизнес будет освобожден от налогов с грантов </w:t>
      </w:r>
      <w:proofErr w:type="gramStart"/>
      <w:r w:rsidR="00C85553" w:rsidRPr="0001666A">
        <w:rPr>
          <w:rFonts w:ascii="Times New Roman" w:eastAsia="Courier New" w:hAnsi="Times New Roman" w:cs="Times New Roman"/>
          <w:color w:val="000000"/>
          <w:sz w:val="24"/>
          <w:szCs w:val="24"/>
          <w:lang w:eastAsia="ru-RU"/>
        </w:rPr>
        <w:t>и</w:t>
      </w:r>
      <w:proofErr w:type="gramEnd"/>
      <w:r w:rsidR="00C85553" w:rsidRPr="0001666A">
        <w:rPr>
          <w:rFonts w:ascii="Times New Roman" w:eastAsia="Courier New" w:hAnsi="Times New Roman" w:cs="Times New Roman"/>
          <w:color w:val="000000"/>
          <w:sz w:val="24"/>
          <w:szCs w:val="24"/>
          <w:lang w:eastAsia="ru-RU"/>
        </w:rPr>
        <w:t xml:space="preserve"> если предприниматель решит направить грант на зарплаты сотрудникам, ему не придется платить НДФЛ и страховые взносы.</w:t>
      </w:r>
    </w:p>
    <w:p w:rsidR="00C85553" w:rsidRPr="0001666A" w:rsidRDefault="00C85553" w:rsidP="006D7E98">
      <w:pPr>
        <w:spacing w:after="0" w:line="360" w:lineRule="auto"/>
        <w:ind w:firstLine="708"/>
        <w:jc w:val="both"/>
        <w:rPr>
          <w:rFonts w:ascii="Times New Roman" w:hAnsi="Times New Roman" w:cs="Times New Roman"/>
          <w:color w:val="000000"/>
          <w:sz w:val="24"/>
          <w:szCs w:val="24"/>
        </w:rPr>
      </w:pPr>
      <w:r w:rsidRPr="0001666A">
        <w:rPr>
          <w:rFonts w:ascii="Times New Roman" w:hAnsi="Times New Roman" w:cs="Times New Roman"/>
          <w:color w:val="000000"/>
          <w:sz w:val="24"/>
          <w:szCs w:val="24"/>
        </w:rPr>
        <w:t>Гранты, как и в прошлом году, предоставляются по заявительному принципу. То есть необходимо подать заявление через личный кабинет на сайте ФНС, ТКС либо на бумажном носителе. Выплаты будут осуществляться до конца 2021 года. Деньги придут в течении 8 дней.</w:t>
      </w:r>
    </w:p>
    <w:p w:rsidR="008265C4" w:rsidRPr="0001666A" w:rsidRDefault="008265C4" w:rsidP="006D7E98">
      <w:pPr>
        <w:pStyle w:val="2"/>
        <w:shd w:val="clear" w:color="auto" w:fill="auto"/>
        <w:spacing w:before="0" w:line="360" w:lineRule="auto"/>
        <w:ind w:firstLine="660"/>
        <w:jc w:val="both"/>
        <w:rPr>
          <w:sz w:val="24"/>
          <w:szCs w:val="24"/>
        </w:rPr>
      </w:pPr>
      <w:r w:rsidRPr="0001666A">
        <w:rPr>
          <w:color w:val="000000"/>
          <w:sz w:val="24"/>
          <w:szCs w:val="24"/>
        </w:rPr>
        <w:t>Выплаты смогут получить предприятия, которые работают в пострадавших отраслях экономики (спорт, гостиничный бизнес, общепит, допобразование, бытовые услуги, культура, организация досуга и развлечений, стоматологическая практика и др.)</w:t>
      </w:r>
      <w:r w:rsidR="0001666A">
        <w:rPr>
          <w:color w:val="000000"/>
          <w:sz w:val="24"/>
          <w:szCs w:val="24"/>
        </w:rPr>
        <w:t>,</w:t>
      </w:r>
      <w:r w:rsidRPr="0001666A">
        <w:rPr>
          <w:color w:val="000000"/>
          <w:sz w:val="24"/>
          <w:szCs w:val="24"/>
        </w:rPr>
        <w:t xml:space="preserve"> а также социально ориентированные НКО из реестров Минэкономразвития России.</w:t>
      </w:r>
    </w:p>
    <w:p w:rsidR="008265C4" w:rsidRPr="0001666A" w:rsidRDefault="008265C4" w:rsidP="006D7E98">
      <w:pPr>
        <w:pStyle w:val="2"/>
        <w:shd w:val="clear" w:color="auto" w:fill="auto"/>
        <w:spacing w:before="0" w:line="360" w:lineRule="auto"/>
        <w:ind w:firstLine="660"/>
        <w:jc w:val="both"/>
        <w:rPr>
          <w:color w:val="000000"/>
          <w:sz w:val="24"/>
          <w:szCs w:val="24"/>
        </w:rPr>
      </w:pPr>
      <w:r w:rsidRPr="0001666A">
        <w:rPr>
          <w:color w:val="000000"/>
          <w:sz w:val="24"/>
          <w:szCs w:val="24"/>
        </w:rPr>
        <w:t>Количество субъектов МСП, потенциально претендующих на получение субсидии, на территории Республики Мордовия составляет 4 055 единиц (ЮЛ — 497, ИП — 3 558).</w:t>
      </w:r>
    </w:p>
    <w:p w:rsidR="008265C4" w:rsidRPr="0001666A" w:rsidRDefault="008265C4" w:rsidP="006D7E98">
      <w:pPr>
        <w:pStyle w:val="2"/>
        <w:shd w:val="clear" w:color="auto" w:fill="auto"/>
        <w:spacing w:before="0" w:line="360" w:lineRule="auto"/>
        <w:ind w:firstLine="660"/>
        <w:jc w:val="both"/>
        <w:rPr>
          <w:color w:val="000000"/>
          <w:sz w:val="24"/>
          <w:szCs w:val="24"/>
          <w:lang w:eastAsia="ru-RU"/>
        </w:rPr>
      </w:pPr>
      <w:r w:rsidRPr="0001666A">
        <w:rPr>
          <w:color w:val="000000"/>
          <w:sz w:val="24"/>
          <w:szCs w:val="24"/>
        </w:rPr>
        <w:t xml:space="preserve">2. </w:t>
      </w:r>
      <w:r w:rsidRPr="0001666A">
        <w:rPr>
          <w:color w:val="000000"/>
          <w:sz w:val="24"/>
          <w:szCs w:val="24"/>
          <w:lang w:eastAsia="ru-RU"/>
        </w:rPr>
        <w:t>С ноября по декабрь 2021 года для субъектов МСП и СОНКО возобновлена выдача льготных кредитов по ставке 3% годовых (второй этап программы кредитования «ФОТ 3.0»).</w:t>
      </w:r>
    </w:p>
    <w:p w:rsidR="008265C4" w:rsidRPr="0001666A" w:rsidRDefault="008265C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 xml:space="preserve">Получить поддержку смогут кинотеатры, музеи, зоопарки, спортивные организации и фитнес-центры, санатории, турагентства, гостиницы, предприятия общепита, парикмахерские и салоны красоты, </w:t>
      </w:r>
      <w:proofErr w:type="gramStart"/>
      <w:r w:rsidRPr="0001666A">
        <w:rPr>
          <w:rFonts w:ascii="Times New Roman" w:eastAsia="Times New Roman" w:hAnsi="Times New Roman" w:cs="Times New Roman"/>
          <w:color w:val="000000"/>
          <w:spacing w:val="10"/>
          <w:sz w:val="24"/>
          <w:szCs w:val="24"/>
          <w:lang w:eastAsia="ru-RU"/>
        </w:rPr>
        <w:t>химчистки</w:t>
      </w:r>
      <w:proofErr w:type="gramEnd"/>
      <w:r w:rsidRPr="0001666A">
        <w:rPr>
          <w:rFonts w:ascii="Times New Roman" w:eastAsia="Times New Roman" w:hAnsi="Times New Roman" w:cs="Times New Roman"/>
          <w:color w:val="000000"/>
          <w:spacing w:val="10"/>
          <w:sz w:val="24"/>
          <w:szCs w:val="24"/>
          <w:lang w:eastAsia="ru-RU"/>
        </w:rPr>
        <w:t xml:space="preserve"> а также компании, которые занимаются организацией досуга, отдыха, развлечений и мероприятий - юридические лица и ИП. Ключевое условие программы - сохранение численности работников па уровне не ниже 90%. Этот показатель будет </w:t>
      </w:r>
      <w:r w:rsidR="0001666A">
        <w:rPr>
          <w:rFonts w:ascii="Times New Roman" w:eastAsia="Times New Roman" w:hAnsi="Times New Roman" w:cs="Times New Roman"/>
          <w:color w:val="000000"/>
          <w:spacing w:val="10"/>
          <w:sz w:val="24"/>
          <w:szCs w:val="24"/>
          <w:lang w:eastAsia="ru-RU"/>
        </w:rPr>
        <w:t>контролироваться через данные ФН</w:t>
      </w:r>
      <w:r w:rsidRPr="0001666A">
        <w:rPr>
          <w:rFonts w:ascii="Times New Roman" w:eastAsia="Times New Roman" w:hAnsi="Times New Roman" w:cs="Times New Roman"/>
          <w:color w:val="000000"/>
          <w:spacing w:val="10"/>
          <w:sz w:val="24"/>
          <w:szCs w:val="24"/>
          <w:lang w:eastAsia="ru-RU"/>
        </w:rPr>
        <w:t>С на основе ежеквартальной отчетности по форме РСВ.</w:t>
      </w:r>
    </w:p>
    <w:p w:rsidR="008265C4" w:rsidRPr="0001666A" w:rsidRDefault="008265C4" w:rsidP="006D7E98">
      <w:pPr>
        <w:spacing w:after="0" w:line="360" w:lineRule="auto"/>
        <w:ind w:firstLine="708"/>
        <w:jc w:val="both"/>
        <w:rPr>
          <w:rFonts w:ascii="Times New Roman" w:hAnsi="Times New Roman" w:cs="Times New Roman"/>
          <w:b/>
          <w:sz w:val="24"/>
          <w:szCs w:val="24"/>
        </w:rPr>
      </w:pPr>
      <w:r w:rsidRPr="0001666A">
        <w:rPr>
          <w:rFonts w:ascii="Times New Roman" w:hAnsi="Times New Roman" w:cs="Times New Roman"/>
          <w:color w:val="000000"/>
          <w:sz w:val="24"/>
          <w:szCs w:val="24"/>
        </w:rPr>
        <w:t xml:space="preserve">Кредиты по льготной ставке будут выдаваться заёмщикам, которые участвовали в программе «ФОТ 2.0» или «ФОТ 3.0», СОНКО из реестров Минэкономразвития России и начинающим предприятиям, созданным с 1 июля 2020 года. Максимальная сумма кредита рассчитывается исходя из 1 МРОТ каждому работнику предприятия в течение 12 месяцев. </w:t>
      </w:r>
      <w:r w:rsidRPr="0001666A">
        <w:rPr>
          <w:rFonts w:ascii="Times New Roman" w:hAnsi="Times New Roman" w:cs="Times New Roman"/>
          <w:color w:val="000000"/>
          <w:sz w:val="24"/>
          <w:szCs w:val="24"/>
        </w:rPr>
        <w:lastRenderedPageBreak/>
        <w:t>Кредиты выдаются под государственные гарантии сроком на 18 месяцев без залога. В первые 6 месяцев предусмотрен льготный период с освобождением от выплаты кредита и процентов по нему, а в течение последующих 12 месяцев заемщик сможет возвращать кредит и проценты равными долями.</w:t>
      </w:r>
    </w:p>
    <w:p w:rsidR="008265C4" w:rsidRPr="0001666A" w:rsidRDefault="008265C4" w:rsidP="006D7E98">
      <w:pPr>
        <w:spacing w:after="0" w:line="360" w:lineRule="auto"/>
        <w:jc w:val="both"/>
        <w:rPr>
          <w:rFonts w:ascii="Times New Roman" w:eastAsia="Courier New" w:hAnsi="Times New Roman" w:cs="Times New Roman"/>
          <w:b/>
          <w:color w:val="000000"/>
          <w:sz w:val="24"/>
          <w:szCs w:val="24"/>
          <w:lang w:eastAsia="ru-RU"/>
        </w:rPr>
      </w:pPr>
    </w:p>
    <w:p w:rsidR="008265C4" w:rsidRPr="0001666A" w:rsidRDefault="008265C4" w:rsidP="006D7E98">
      <w:pPr>
        <w:spacing w:after="0" w:line="360" w:lineRule="auto"/>
        <w:jc w:val="both"/>
        <w:rPr>
          <w:rFonts w:ascii="Times New Roman" w:eastAsia="Courier New" w:hAnsi="Times New Roman" w:cs="Times New Roman"/>
          <w:b/>
          <w:color w:val="000000"/>
          <w:sz w:val="24"/>
          <w:szCs w:val="24"/>
          <w:lang w:eastAsia="ru-RU"/>
        </w:rPr>
      </w:pPr>
      <w:r w:rsidRPr="0001666A">
        <w:rPr>
          <w:rFonts w:ascii="Times New Roman" w:eastAsia="Courier New" w:hAnsi="Times New Roman" w:cs="Times New Roman"/>
          <w:b/>
          <w:color w:val="000000"/>
          <w:sz w:val="24"/>
          <w:szCs w:val="24"/>
          <w:lang w:eastAsia="ru-RU"/>
        </w:rPr>
        <w:t>Региональные меры поддержки.</w:t>
      </w:r>
    </w:p>
    <w:p w:rsidR="008265C4" w:rsidRPr="0001666A" w:rsidRDefault="008265C4" w:rsidP="006D7E98">
      <w:pPr>
        <w:spacing w:after="0" w:line="360" w:lineRule="auto"/>
        <w:ind w:firstLine="708"/>
        <w:jc w:val="both"/>
        <w:rPr>
          <w:rFonts w:ascii="Times New Roman" w:hAnsi="Times New Roman" w:cs="Times New Roman"/>
          <w:color w:val="000000"/>
          <w:sz w:val="24"/>
          <w:szCs w:val="24"/>
        </w:rPr>
      </w:pPr>
      <w:r w:rsidRPr="0001666A">
        <w:rPr>
          <w:rFonts w:ascii="Times New Roman" w:hAnsi="Times New Roman" w:cs="Times New Roman"/>
          <w:color w:val="000000"/>
          <w:sz w:val="24"/>
          <w:szCs w:val="24"/>
        </w:rPr>
        <w:t xml:space="preserve">В целях поддержки субъектов МСП в условиях ухудшения экономической ситуации, связанной с распространением новой </w:t>
      </w:r>
      <w:proofErr w:type="spellStart"/>
      <w:r w:rsidRPr="0001666A">
        <w:rPr>
          <w:rFonts w:ascii="Times New Roman" w:hAnsi="Times New Roman" w:cs="Times New Roman"/>
          <w:color w:val="000000"/>
          <w:sz w:val="24"/>
          <w:szCs w:val="24"/>
        </w:rPr>
        <w:t>коронавирусной</w:t>
      </w:r>
      <w:proofErr w:type="spellEnd"/>
      <w:r w:rsidRPr="0001666A">
        <w:rPr>
          <w:rFonts w:ascii="Times New Roman" w:hAnsi="Times New Roman" w:cs="Times New Roman"/>
          <w:color w:val="000000"/>
          <w:sz w:val="24"/>
          <w:szCs w:val="24"/>
        </w:rPr>
        <w:t xml:space="preserve"> инфекции (</w:t>
      </w:r>
      <w:r w:rsidRPr="0001666A">
        <w:rPr>
          <w:rFonts w:ascii="Times New Roman" w:hAnsi="Times New Roman" w:cs="Times New Roman"/>
          <w:color w:val="000000"/>
          <w:sz w:val="24"/>
          <w:szCs w:val="24"/>
          <w:lang w:val="en-US"/>
        </w:rPr>
        <w:t>COVID</w:t>
      </w:r>
      <w:r w:rsidRPr="0001666A">
        <w:rPr>
          <w:rFonts w:ascii="Times New Roman" w:hAnsi="Times New Roman" w:cs="Times New Roman"/>
          <w:color w:val="000000"/>
          <w:sz w:val="24"/>
          <w:szCs w:val="24"/>
        </w:rPr>
        <w:t>-19) в 2021 году продолжается предоставление дополнительных мер по снижению нагрузки для субъектов МСП, в том числе действующих заемщиков, у которых возникнут трудности с оплатой текущих платежей по взятым обязательствам в виде отсрочки погашения основного долга на конец срока действия займа и реструктуризации (изменения) графика платежей в связи с уменьшением размера очередного платежа по основному долгу.</w:t>
      </w:r>
    </w:p>
    <w:p w:rsidR="008265C4" w:rsidRPr="0001666A" w:rsidRDefault="008265C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Поддержка оказывается в виде отсрочки погашения основного долга на конец срока действия займа, реструктуризации (изменения) графика платежей в связи с уменьшением размера очередного платежа по основному</w:t>
      </w:r>
      <w:r w:rsidR="0001666A">
        <w:rPr>
          <w:rFonts w:ascii="Times New Roman" w:eastAsia="Times New Roman" w:hAnsi="Times New Roman" w:cs="Times New Roman"/>
          <w:color w:val="000000"/>
          <w:spacing w:val="10"/>
          <w:sz w:val="24"/>
          <w:szCs w:val="24"/>
          <w:lang w:eastAsia="ru-RU"/>
        </w:rPr>
        <w:t xml:space="preserve"> </w:t>
      </w:r>
      <w:r w:rsidRPr="0001666A">
        <w:rPr>
          <w:rFonts w:ascii="Times New Roman" w:eastAsia="Times New Roman" w:hAnsi="Times New Roman" w:cs="Times New Roman"/>
          <w:color w:val="000000"/>
          <w:spacing w:val="10"/>
          <w:sz w:val="24"/>
          <w:szCs w:val="24"/>
          <w:lang w:eastAsia="ru-RU"/>
        </w:rPr>
        <w:t>долгу.</w:t>
      </w:r>
    </w:p>
    <w:p w:rsidR="008265C4" w:rsidRPr="0001666A" w:rsidRDefault="008265C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В целях продолжения поддержки субъектов МСП осуществляющих свою деятельность в пострадавших отраслях экономики сохранен продукт «Поддержка» (6,75 % годовых).</w:t>
      </w:r>
    </w:p>
    <w:p w:rsidR="008265C4" w:rsidRPr="0001666A" w:rsidRDefault="008265C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В октябре 2021 года МКК Фонд поддержки предпринимательства Республики Мордовия разработан новый продукт «Антикризисный» по льготной ставке 1% годовых в сумме до 2 млн</w:t>
      </w:r>
      <w:r w:rsidR="0001666A">
        <w:rPr>
          <w:rFonts w:ascii="Times New Roman" w:eastAsia="Times New Roman" w:hAnsi="Times New Roman" w:cs="Times New Roman"/>
          <w:color w:val="000000"/>
          <w:spacing w:val="10"/>
          <w:sz w:val="24"/>
          <w:szCs w:val="24"/>
          <w:lang w:eastAsia="ru-RU"/>
        </w:rPr>
        <w:t>.</w:t>
      </w:r>
      <w:r w:rsidRPr="0001666A">
        <w:rPr>
          <w:rFonts w:ascii="Times New Roman" w:eastAsia="Times New Roman" w:hAnsi="Times New Roman" w:cs="Times New Roman"/>
          <w:color w:val="000000"/>
          <w:spacing w:val="10"/>
          <w:sz w:val="24"/>
          <w:szCs w:val="24"/>
          <w:lang w:eastAsia="ru-RU"/>
        </w:rPr>
        <w:t xml:space="preserve"> рублей на срок до 2 лет.</w:t>
      </w:r>
    </w:p>
    <w:p w:rsidR="008265C4" w:rsidRPr="0001666A" w:rsidRDefault="008265C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Финансовую поддержку могут получить субъекты МСП, деятельность которых соответствует требованиям Федерального закона №209-ФЗ, зарегистрированные и осуществляющие свою деятельность на территории Республики Мордовия по следующим видам:</w:t>
      </w:r>
    </w:p>
    <w:p w:rsidR="008265C4" w:rsidRPr="0001666A" w:rsidRDefault="008265C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рестораны, кафе, столовые, буфеты, бары, закусочные и иные организации общественного питания;</w:t>
      </w:r>
    </w:p>
    <w:p w:rsidR="008265C4" w:rsidRPr="0001666A" w:rsidRDefault="008265C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салоны красоты, парикмахерские, косметические салоны, СПА-салоны, массажные салоны, солярии;</w:t>
      </w:r>
    </w:p>
    <w:p w:rsidR="008265C4" w:rsidRPr="0001666A" w:rsidRDefault="008265C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бани, сауны, плавательные бассейны, спортивные и тренажерные залы, фитнес-центры;</w:t>
      </w:r>
    </w:p>
    <w:p w:rsidR="008265C4" w:rsidRPr="0001666A" w:rsidRDefault="008265C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proofErr w:type="spellStart"/>
      <w:r w:rsidRPr="0001666A">
        <w:rPr>
          <w:rFonts w:ascii="Times New Roman" w:eastAsia="Times New Roman" w:hAnsi="Times New Roman" w:cs="Times New Roman"/>
          <w:color w:val="000000"/>
          <w:spacing w:val="10"/>
          <w:sz w:val="24"/>
          <w:szCs w:val="24"/>
          <w:lang w:eastAsia="ru-RU"/>
        </w:rPr>
        <w:t>картинговые</w:t>
      </w:r>
      <w:proofErr w:type="spellEnd"/>
      <w:r w:rsidRPr="0001666A">
        <w:rPr>
          <w:rFonts w:ascii="Times New Roman" w:eastAsia="Times New Roman" w:hAnsi="Times New Roman" w:cs="Times New Roman"/>
          <w:color w:val="000000"/>
          <w:spacing w:val="10"/>
          <w:sz w:val="24"/>
          <w:szCs w:val="24"/>
          <w:lang w:eastAsia="ru-RU"/>
        </w:rPr>
        <w:t xml:space="preserve"> центры, конные центры (клубы);</w:t>
      </w:r>
    </w:p>
    <w:p w:rsidR="0001666A" w:rsidRDefault="008265C4" w:rsidP="006D7E98">
      <w:pPr>
        <w:widowControl w:val="0"/>
        <w:spacing w:after="0" w:line="360" w:lineRule="auto"/>
        <w:ind w:firstLine="660"/>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 xml:space="preserve">СМСП, организующие концертные и выставочные мероприятия; </w:t>
      </w:r>
    </w:p>
    <w:p w:rsidR="008265C4" w:rsidRPr="0001666A" w:rsidRDefault="008265C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 xml:space="preserve">детские игровые комнаты и детские развлекательные центры, размещенные в </w:t>
      </w:r>
      <w:r w:rsidRPr="0001666A">
        <w:rPr>
          <w:rFonts w:ascii="Times New Roman" w:eastAsia="Times New Roman" w:hAnsi="Times New Roman" w:cs="Times New Roman"/>
          <w:color w:val="000000"/>
          <w:spacing w:val="10"/>
          <w:sz w:val="24"/>
          <w:szCs w:val="24"/>
          <w:lang w:eastAsia="ru-RU"/>
        </w:rPr>
        <w:lastRenderedPageBreak/>
        <w:t xml:space="preserve">торговых и культурно-досуговых центрах, павильонах и прочих объектах </w:t>
      </w:r>
      <w:r w:rsidR="0001666A">
        <w:rPr>
          <w:rFonts w:ascii="Times New Roman" w:eastAsia="Times New Roman" w:hAnsi="Times New Roman" w:cs="Times New Roman"/>
          <w:color w:val="000000"/>
          <w:spacing w:val="10"/>
          <w:sz w:val="24"/>
          <w:szCs w:val="24"/>
          <w:lang w:eastAsia="ru-RU"/>
        </w:rPr>
        <w:t>н</w:t>
      </w:r>
      <w:r w:rsidRPr="0001666A">
        <w:rPr>
          <w:rFonts w:ascii="Times New Roman" w:eastAsia="Times New Roman" w:hAnsi="Times New Roman" w:cs="Times New Roman"/>
          <w:color w:val="000000"/>
          <w:spacing w:val="10"/>
          <w:sz w:val="24"/>
          <w:szCs w:val="24"/>
          <w:lang w:eastAsia="ru-RU"/>
        </w:rPr>
        <w:t>ежилого назначения.</w:t>
      </w:r>
    </w:p>
    <w:p w:rsidR="003C35A4" w:rsidRPr="0001666A" w:rsidRDefault="003C35A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Денежные средства можно расходовать на пополнение оборотных средств, в том числе: оплата налоговых платежей и сборов, оплата заработной платы, оплата арендных платежей и коммунальных услуг.</w:t>
      </w:r>
    </w:p>
    <w:p w:rsidR="003C35A4" w:rsidRPr="0001666A" w:rsidRDefault="003C35A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 xml:space="preserve">Процентная ставка по кредитным продуктам «Лёгкий старт» для начинающих предпринимателей и </w:t>
      </w:r>
      <w:r w:rsidRPr="0001666A">
        <w:rPr>
          <w:rFonts w:ascii="Times New Roman" w:eastAsia="Arial" w:hAnsi="Times New Roman" w:cs="Times New Roman"/>
          <w:iCs/>
          <w:color w:val="000000"/>
          <w:spacing w:val="16"/>
          <w:sz w:val="24"/>
          <w:szCs w:val="24"/>
          <w:lang w:eastAsia="ru-RU"/>
        </w:rPr>
        <w:t>«Я сам</w:t>
      </w:r>
      <w:r w:rsidRPr="0001666A">
        <w:rPr>
          <w:rFonts w:ascii="Times New Roman" w:eastAsia="Times New Roman" w:hAnsi="Times New Roman" w:cs="Times New Roman"/>
          <w:color w:val="000000"/>
          <w:spacing w:val="10"/>
          <w:sz w:val="24"/>
          <w:szCs w:val="24"/>
          <w:lang w:eastAsia="ru-RU"/>
        </w:rPr>
        <w:t xml:space="preserve">» для </w:t>
      </w:r>
      <w:proofErr w:type="spellStart"/>
      <w:r w:rsidRPr="0001666A">
        <w:rPr>
          <w:rFonts w:ascii="Times New Roman" w:eastAsia="Times New Roman" w:hAnsi="Times New Roman" w:cs="Times New Roman"/>
          <w:color w:val="000000"/>
          <w:spacing w:val="10"/>
          <w:sz w:val="24"/>
          <w:szCs w:val="24"/>
          <w:lang w:eastAsia="ru-RU"/>
        </w:rPr>
        <w:t>самозанятых</w:t>
      </w:r>
      <w:proofErr w:type="spellEnd"/>
      <w:r w:rsidRPr="0001666A">
        <w:rPr>
          <w:rFonts w:ascii="Times New Roman" w:eastAsia="Times New Roman" w:hAnsi="Times New Roman" w:cs="Times New Roman"/>
          <w:color w:val="000000"/>
          <w:spacing w:val="10"/>
          <w:sz w:val="24"/>
          <w:szCs w:val="24"/>
          <w:lang w:eastAsia="ru-RU"/>
        </w:rPr>
        <w:t xml:space="preserve"> граждан снижена до 3, 75 % годовых на период пользования. При сумме займов до 100 </w:t>
      </w:r>
      <w:r w:rsidR="004F5688">
        <w:rPr>
          <w:rFonts w:ascii="Times New Roman" w:eastAsia="Times New Roman" w:hAnsi="Times New Roman" w:cs="Times New Roman"/>
          <w:color w:val="000000"/>
          <w:spacing w:val="10"/>
          <w:sz w:val="24"/>
          <w:szCs w:val="24"/>
          <w:lang w:eastAsia="ru-RU"/>
        </w:rPr>
        <w:t>000</w:t>
      </w:r>
      <w:r w:rsidRPr="0001666A">
        <w:rPr>
          <w:rFonts w:ascii="Times New Roman" w:eastAsia="Times New Roman" w:hAnsi="Times New Roman" w:cs="Times New Roman"/>
          <w:color w:val="000000"/>
          <w:spacing w:val="10"/>
          <w:sz w:val="24"/>
          <w:szCs w:val="24"/>
          <w:lang w:eastAsia="ru-RU"/>
        </w:rPr>
        <w:t xml:space="preserve"> рублей залог и поручительство не требуются. При сумме займов до 200 000 рублей не требуется залог и поручительство заемщикам, проходившим обучение в центре «Мой бизнес» или в образовательных организациях.</w:t>
      </w:r>
    </w:p>
    <w:p w:rsidR="003C35A4" w:rsidRPr="0001666A" w:rsidRDefault="003C35A4" w:rsidP="006D7E98">
      <w:pPr>
        <w:pStyle w:val="2"/>
        <w:shd w:val="clear" w:color="auto" w:fill="auto"/>
        <w:spacing w:before="0" w:line="360" w:lineRule="auto"/>
        <w:ind w:firstLine="660"/>
        <w:jc w:val="both"/>
        <w:rPr>
          <w:color w:val="000000"/>
          <w:sz w:val="24"/>
          <w:szCs w:val="24"/>
          <w:lang w:eastAsia="ru-RU"/>
        </w:rPr>
      </w:pPr>
      <w:r w:rsidRPr="0001666A">
        <w:rPr>
          <w:color w:val="000000"/>
          <w:sz w:val="24"/>
          <w:szCs w:val="24"/>
        </w:rPr>
        <w:t xml:space="preserve">Региональной гарантийной организацией АУ «Гарантийный фонд Республики Мордовия» снижены ставки по комиссии за выдачу поручительств по кредитам: ставка по новым поручительствам снижена с 1,25% до 0,75% годовых. Ставка по пролонгируемым поручительствам снижена </w:t>
      </w:r>
      <w:r w:rsidRPr="0001666A">
        <w:rPr>
          <w:color w:val="000000"/>
          <w:sz w:val="24"/>
          <w:szCs w:val="24"/>
          <w:lang w:eastAsia="ru-RU"/>
        </w:rPr>
        <w:t>с 1,25% до 0,5% годовых. Специальные условия продлены до 31 декабря 2021 года (для субъектов МСП пострадавших отраслей), поручительства, сроком до 3-х лет - ставка 0,5% годовых.</w:t>
      </w:r>
    </w:p>
    <w:p w:rsidR="003C35A4" w:rsidRPr="0001666A" w:rsidRDefault="003C35A4" w:rsidP="006D7E98">
      <w:pPr>
        <w:pStyle w:val="2"/>
        <w:shd w:val="clear" w:color="auto" w:fill="auto"/>
        <w:spacing w:before="0" w:line="360" w:lineRule="auto"/>
        <w:ind w:firstLine="660"/>
        <w:jc w:val="both"/>
        <w:rPr>
          <w:color w:val="000000"/>
          <w:sz w:val="24"/>
          <w:szCs w:val="24"/>
        </w:rPr>
      </w:pPr>
      <w:r w:rsidRPr="0001666A">
        <w:rPr>
          <w:color w:val="000000"/>
          <w:sz w:val="24"/>
          <w:szCs w:val="24"/>
        </w:rPr>
        <w:t>Центр «Мой Бизнес» оказывает консультационную поддержку по вопросам применения ограничительных мер и порядка получения государственной поддержки.</w:t>
      </w:r>
    </w:p>
    <w:p w:rsidR="003C35A4" w:rsidRPr="0001666A" w:rsidRDefault="003C35A4" w:rsidP="006D7E98">
      <w:pPr>
        <w:widowControl w:val="0"/>
        <w:spacing w:after="0" w:line="360" w:lineRule="auto"/>
        <w:ind w:firstLine="660"/>
        <w:jc w:val="both"/>
        <w:rPr>
          <w:rFonts w:ascii="Times New Roman" w:eastAsia="Times New Roman" w:hAnsi="Times New Roman" w:cs="Times New Roman"/>
          <w:color w:val="000000"/>
          <w:spacing w:val="10"/>
          <w:sz w:val="24"/>
          <w:szCs w:val="24"/>
          <w:lang w:eastAsia="ru-RU"/>
        </w:rPr>
      </w:pPr>
      <w:r w:rsidRPr="0001666A">
        <w:rPr>
          <w:rFonts w:ascii="Times New Roman" w:eastAsia="Times New Roman" w:hAnsi="Times New Roman" w:cs="Times New Roman"/>
          <w:color w:val="000000"/>
          <w:spacing w:val="10"/>
          <w:sz w:val="24"/>
          <w:szCs w:val="24"/>
          <w:lang w:eastAsia="ru-RU"/>
        </w:rPr>
        <w:t>Дополнительно сообщаем, что для субъектов малого и среднего предпринимательства доступна новая мера государственной поддержки реализуемая в соответствии с постановлением Правительства Российской Федерации от 28.06.2021 г. № 1031 «Об утверждении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 в виде приобретения программного обеспечения по льготной цене (50% от рыночной стоимости).</w:t>
      </w:r>
    </w:p>
    <w:p w:rsidR="003C35A4" w:rsidRPr="003C35A4" w:rsidRDefault="003C35A4" w:rsidP="006D7E98">
      <w:pPr>
        <w:pStyle w:val="2"/>
        <w:shd w:val="clear" w:color="auto" w:fill="auto"/>
        <w:spacing w:before="0" w:line="360" w:lineRule="auto"/>
        <w:ind w:left="40" w:right="20" w:firstLine="660"/>
        <w:jc w:val="both"/>
        <w:rPr>
          <w:color w:val="000000"/>
          <w:lang w:eastAsia="ru-RU"/>
        </w:rPr>
      </w:pPr>
    </w:p>
    <w:p w:rsidR="003C35A4" w:rsidRPr="003C35A4" w:rsidRDefault="003C35A4" w:rsidP="0001666A">
      <w:pPr>
        <w:widowControl w:val="0"/>
        <w:spacing w:after="0" w:line="240" w:lineRule="auto"/>
        <w:ind w:left="40" w:right="20" w:firstLine="660"/>
        <w:jc w:val="both"/>
        <w:rPr>
          <w:rFonts w:ascii="Times New Roman" w:eastAsia="Times New Roman" w:hAnsi="Times New Roman" w:cs="Times New Roman"/>
          <w:color w:val="000000"/>
          <w:spacing w:val="10"/>
          <w:lang w:eastAsia="ru-RU"/>
        </w:rPr>
      </w:pPr>
    </w:p>
    <w:p w:rsidR="008265C4" w:rsidRPr="008265C4" w:rsidRDefault="008265C4" w:rsidP="0001666A">
      <w:pPr>
        <w:widowControl w:val="0"/>
        <w:spacing w:after="0" w:line="240" w:lineRule="auto"/>
        <w:ind w:left="40" w:right="20" w:firstLine="660"/>
        <w:rPr>
          <w:rFonts w:ascii="Times New Roman" w:eastAsia="Times New Roman" w:hAnsi="Times New Roman" w:cs="Times New Roman"/>
          <w:color w:val="000000"/>
          <w:spacing w:val="10"/>
          <w:lang w:eastAsia="ru-RU"/>
        </w:rPr>
      </w:pPr>
    </w:p>
    <w:p w:rsidR="008265C4" w:rsidRPr="008265C4" w:rsidRDefault="008265C4" w:rsidP="0001666A">
      <w:pPr>
        <w:spacing w:line="240" w:lineRule="auto"/>
        <w:ind w:firstLine="708"/>
        <w:jc w:val="both"/>
        <w:rPr>
          <w:rFonts w:ascii="Times New Roman" w:eastAsia="Courier New" w:hAnsi="Times New Roman" w:cs="Times New Roman"/>
          <w:b/>
          <w:color w:val="000000"/>
          <w:sz w:val="24"/>
          <w:szCs w:val="24"/>
          <w:lang w:eastAsia="ru-RU"/>
        </w:rPr>
      </w:pPr>
    </w:p>
    <w:p w:rsidR="008265C4" w:rsidRPr="008265C4" w:rsidRDefault="008265C4" w:rsidP="008265C4">
      <w:pPr>
        <w:spacing w:line="240" w:lineRule="auto"/>
        <w:jc w:val="both"/>
        <w:rPr>
          <w:rFonts w:ascii="Times New Roman" w:hAnsi="Times New Roman" w:cs="Times New Roman"/>
          <w:b/>
          <w:sz w:val="24"/>
          <w:szCs w:val="24"/>
        </w:rPr>
      </w:pPr>
    </w:p>
    <w:sectPr w:rsidR="008265C4" w:rsidRPr="00826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47BD2"/>
    <w:multiLevelType w:val="multilevel"/>
    <w:tmpl w:val="02B8B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1D5EE0"/>
    <w:multiLevelType w:val="hybridMultilevel"/>
    <w:tmpl w:val="C0D06D28"/>
    <w:lvl w:ilvl="0" w:tplc="DA30F05C">
      <w:start w:val="1"/>
      <w:numFmt w:val="decimal"/>
      <w:lvlText w:val="%1."/>
      <w:lvlJc w:val="left"/>
      <w:pPr>
        <w:ind w:left="720" w:hanging="360"/>
      </w:pPr>
      <w:rPr>
        <w:rFonts w:eastAsia="Courier New"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6325B2"/>
    <w:multiLevelType w:val="hybridMultilevel"/>
    <w:tmpl w:val="F9502020"/>
    <w:lvl w:ilvl="0" w:tplc="155E27F2">
      <w:start w:val="1"/>
      <w:numFmt w:val="decimal"/>
      <w:lvlText w:val="%1"/>
      <w:lvlJc w:val="left"/>
      <w:pPr>
        <w:ind w:left="720" w:hanging="360"/>
      </w:pPr>
      <w:rPr>
        <w:rFonts w:eastAsia="Courier New"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43"/>
    <w:rsid w:val="0001666A"/>
    <w:rsid w:val="00297468"/>
    <w:rsid w:val="003C35A4"/>
    <w:rsid w:val="004F5688"/>
    <w:rsid w:val="006D7E98"/>
    <w:rsid w:val="008265C4"/>
    <w:rsid w:val="00C85553"/>
    <w:rsid w:val="00F9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4565"/>
  <w15:chartTrackingRefBased/>
  <w15:docId w15:val="{63E053D8-2F86-4181-8E9A-BABE12ED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553"/>
    <w:pPr>
      <w:ind w:left="720"/>
      <w:contextualSpacing/>
    </w:pPr>
  </w:style>
  <w:style w:type="character" w:customStyle="1" w:styleId="a4">
    <w:name w:val="Основной текст_"/>
    <w:basedOn w:val="a0"/>
    <w:link w:val="2"/>
    <w:rsid w:val="008265C4"/>
    <w:rPr>
      <w:rFonts w:ascii="Times New Roman" w:eastAsia="Times New Roman" w:hAnsi="Times New Roman" w:cs="Times New Roman"/>
      <w:spacing w:val="10"/>
      <w:shd w:val="clear" w:color="auto" w:fill="FFFFFF"/>
    </w:rPr>
  </w:style>
  <w:style w:type="paragraph" w:customStyle="1" w:styleId="2">
    <w:name w:val="Основной текст2"/>
    <w:basedOn w:val="a"/>
    <w:link w:val="a4"/>
    <w:rsid w:val="008265C4"/>
    <w:pPr>
      <w:widowControl w:val="0"/>
      <w:shd w:val="clear" w:color="auto" w:fill="FFFFFF"/>
      <w:spacing w:before="60" w:after="0" w:line="0" w:lineRule="atLeast"/>
      <w:jc w:val="center"/>
    </w:pPr>
    <w:rPr>
      <w:rFonts w:ascii="Times New Roman" w:eastAsia="Times New Roman" w:hAnsi="Times New Roman" w:cs="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Ионова Г.Н.</dc:creator>
  <cp:keywords/>
  <dc:description/>
  <cp:lastModifiedBy>Ионова Г.Н.</cp:lastModifiedBy>
  <cp:revision>7</cp:revision>
  <dcterms:created xsi:type="dcterms:W3CDTF">2021-12-23T07:05:00Z</dcterms:created>
  <dcterms:modified xsi:type="dcterms:W3CDTF">2021-12-23T08:08:00Z</dcterms:modified>
</cp:coreProperties>
</file>